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59BA7" w14:textId="77777777" w:rsidR="00F81CA3" w:rsidRDefault="00000000">
      <w:pPr>
        <w:spacing w:after="240"/>
        <w:jc w:val="center"/>
      </w:pPr>
      <w:r>
        <w:rPr>
          <w:b/>
          <w:bCs/>
          <w:sz w:val="30"/>
          <w:szCs w:val="30"/>
        </w:rPr>
        <w:t>PRILOGA 2: TEHNIČNE ZAHTEVE IN TESTNI PROTOKOL</w:t>
      </w:r>
    </w:p>
    <w:p w14:paraId="43959BA8" w14:textId="77777777" w:rsidR="00F81CA3" w:rsidRDefault="00000000">
      <w:pPr>
        <w:spacing w:after="240"/>
        <w:jc w:val="center"/>
      </w:pPr>
      <w:r>
        <w:t>Predhodno preverjanje trga »Digitalizacija javne razsvetljave Mestne občine Maribor«</w:t>
      </w:r>
    </w:p>
    <w:p w14:paraId="43959BA9" w14:textId="77777777" w:rsidR="00F81CA3" w:rsidRDefault="00000000">
      <w:pPr>
        <w:spacing w:before="280" w:after="160"/>
      </w:pPr>
      <w:r>
        <w:rPr>
          <w:b/>
          <w:bCs/>
          <w:sz w:val="26"/>
          <w:szCs w:val="26"/>
        </w:rPr>
        <w:t>1. Minimalne tehnične zahteve za sodelovanje</w:t>
      </w:r>
    </w:p>
    <w:p w14:paraId="43959BAA" w14:textId="77777777" w:rsidR="00F81CA3" w:rsidRDefault="00000000">
      <w:pPr>
        <w:pStyle w:val="Odstavekseznama"/>
        <w:numPr>
          <w:ilvl w:val="0"/>
          <w:numId w:val="2"/>
        </w:numPr>
        <w:spacing w:after="120" w:line="276" w:lineRule="auto"/>
        <w:jc w:val="both"/>
      </w:pPr>
      <w:r>
        <w:t>Krmilne naprave: vtične enote za priključek Zhaga Book 18, certificirane po Zhaga-D4i certifikacijskem programu.</w:t>
      </w:r>
    </w:p>
    <w:p w14:paraId="43959BAB" w14:textId="77777777" w:rsidR="00F81CA3" w:rsidRDefault="00000000">
      <w:pPr>
        <w:pStyle w:val="Odstavekseznama"/>
        <w:numPr>
          <w:ilvl w:val="0"/>
          <w:numId w:val="2"/>
        </w:numPr>
        <w:spacing w:after="120" w:line="276" w:lineRule="auto"/>
        <w:jc w:val="both"/>
      </w:pPr>
      <w:r>
        <w:t>Komunikacija z gonilnikom svetilke: DALI D4i (branje energetskih in diagnostičnih podatkov).</w:t>
      </w:r>
    </w:p>
    <w:p w14:paraId="43959BAC" w14:textId="77777777" w:rsidR="00F81CA3" w:rsidRDefault="00000000">
      <w:pPr>
        <w:pStyle w:val="Odstavekseznama"/>
        <w:numPr>
          <w:ilvl w:val="0"/>
          <w:numId w:val="2"/>
        </w:numPr>
        <w:spacing w:after="120" w:line="276" w:lineRule="auto"/>
        <w:jc w:val="both"/>
      </w:pPr>
      <w:r>
        <w:t>Centralni nadzorni sistem (CMS) z možnostjo daljinskega upravljanja, urnikov redukcije, alarmiranja in izvoza podatkov.</w:t>
      </w:r>
    </w:p>
    <w:p w14:paraId="43959BAD" w14:textId="77777777" w:rsidR="00F81CA3" w:rsidRDefault="00000000">
      <w:pPr>
        <w:pStyle w:val="Odstavekseznama"/>
        <w:numPr>
          <w:ilvl w:val="0"/>
          <w:numId w:val="2"/>
        </w:numPr>
        <w:spacing w:after="120" w:line="276" w:lineRule="auto"/>
        <w:jc w:val="both"/>
      </w:pPr>
      <w:r>
        <w:t>Naprave morajo imeti ustrezne izjave o skladnosti (CE) za uporabo v EU.</w:t>
      </w:r>
    </w:p>
    <w:p w14:paraId="43959BAE" w14:textId="77777777" w:rsidR="00F81CA3" w:rsidRDefault="00000000">
      <w:pPr>
        <w:spacing w:before="280" w:after="160"/>
      </w:pPr>
      <w:r>
        <w:rPr>
          <w:b/>
          <w:bCs/>
          <w:sz w:val="26"/>
          <w:szCs w:val="26"/>
        </w:rPr>
        <w:t>2. Kaj zagotovi naročnik</w:t>
      </w:r>
    </w:p>
    <w:p w14:paraId="43959BAF" w14:textId="77777777" w:rsidR="00F81CA3" w:rsidRDefault="00000000">
      <w:pPr>
        <w:pStyle w:val="Odstavekseznama"/>
        <w:numPr>
          <w:ilvl w:val="0"/>
          <w:numId w:val="2"/>
        </w:numPr>
        <w:spacing w:after="120" w:line="276" w:lineRule="auto"/>
        <w:jc w:val="both"/>
      </w:pPr>
      <w:r>
        <w:t>Testno območje s svetilkami z Zhaga priključkom in dodelitev primerljivega pododseka vsakemu sodelujočemu.</w:t>
      </w:r>
    </w:p>
    <w:p w14:paraId="43959BB0" w14:textId="77777777" w:rsidR="00F81CA3" w:rsidRDefault="00000000">
      <w:pPr>
        <w:pStyle w:val="Odstavekseznama"/>
        <w:numPr>
          <w:ilvl w:val="0"/>
          <w:numId w:val="2"/>
        </w:numPr>
        <w:spacing w:after="120" w:line="276" w:lineRule="auto"/>
        <w:jc w:val="both"/>
      </w:pPr>
      <w:r>
        <w:t>Sodelovanje in nadzor koncesionarja za vzdrževanje javne razsvetljave pri namestitvi in odstranitvi naprav.</w:t>
      </w:r>
    </w:p>
    <w:p w14:paraId="43959BB1" w14:textId="77777777" w:rsidR="00F81CA3" w:rsidRDefault="00000000">
      <w:pPr>
        <w:pStyle w:val="Odstavekseznama"/>
        <w:numPr>
          <w:ilvl w:val="0"/>
          <w:numId w:val="2"/>
        </w:numPr>
        <w:spacing w:after="120" w:line="276" w:lineRule="auto"/>
        <w:jc w:val="both"/>
      </w:pPr>
      <w:r>
        <w:t>Električno energijo za delovanje naprav v času testiranja.</w:t>
      </w:r>
    </w:p>
    <w:p w14:paraId="43959BB2" w14:textId="77777777" w:rsidR="00F81CA3" w:rsidRDefault="00000000">
      <w:pPr>
        <w:pStyle w:val="Odstavekseznama"/>
        <w:numPr>
          <w:ilvl w:val="0"/>
          <w:numId w:val="2"/>
        </w:numPr>
        <w:spacing w:after="120" w:line="276" w:lineRule="auto"/>
        <w:jc w:val="both"/>
      </w:pPr>
      <w:r>
        <w:t>Podatke o svetilkah na pododseku (ID svetilke, tip, moč, lokacija).</w:t>
      </w:r>
    </w:p>
    <w:p w14:paraId="43959BB3" w14:textId="77777777" w:rsidR="00F81CA3" w:rsidRDefault="00000000">
      <w:pPr>
        <w:spacing w:before="280" w:after="160"/>
      </w:pPr>
      <w:r>
        <w:rPr>
          <w:b/>
          <w:bCs/>
          <w:sz w:val="26"/>
          <w:szCs w:val="26"/>
        </w:rPr>
        <w:t>3. Kaj zagotovi sodelujoči</w:t>
      </w:r>
    </w:p>
    <w:p w14:paraId="43959BB4" w14:textId="12740E57" w:rsidR="00F81CA3" w:rsidRDefault="00000000">
      <w:pPr>
        <w:pStyle w:val="Odstavekseznama"/>
        <w:numPr>
          <w:ilvl w:val="0"/>
          <w:numId w:val="2"/>
        </w:numPr>
        <w:spacing w:after="120" w:line="276" w:lineRule="auto"/>
        <w:jc w:val="both"/>
      </w:pPr>
      <w:r>
        <w:t>Krmilne naprave za dodeljeni pododsek (do 15 kosov) in dostop do CMS za naročnika (najmanj dva uporabniška računa, vpogled v žive podatke).</w:t>
      </w:r>
    </w:p>
    <w:p w14:paraId="43959BB5" w14:textId="77777777" w:rsidR="00F81CA3" w:rsidRDefault="00000000">
      <w:pPr>
        <w:pStyle w:val="Odstavekseznama"/>
        <w:numPr>
          <w:ilvl w:val="0"/>
          <w:numId w:val="2"/>
        </w:numPr>
        <w:spacing w:after="120" w:line="276" w:lineRule="auto"/>
        <w:jc w:val="both"/>
      </w:pPr>
      <w:r>
        <w:t>Namestitev in konfiguracijo naprav z lastnim usposobljenim osebjem, ob prisotnosti koncesionarja; dela na višini in v bližini električnih inštalacij v skladu s predpisi o varnosti in zdravju pri delu.</w:t>
      </w:r>
    </w:p>
    <w:p w14:paraId="43959BB6" w14:textId="77777777" w:rsidR="00F81CA3" w:rsidRDefault="00000000">
      <w:pPr>
        <w:pStyle w:val="Odstavekseznama"/>
        <w:numPr>
          <w:ilvl w:val="0"/>
          <w:numId w:val="2"/>
        </w:numPr>
        <w:spacing w:after="120" w:line="276" w:lineRule="auto"/>
        <w:jc w:val="both"/>
      </w:pPr>
      <w:r>
        <w:t>Odstranitev naprav po zaključku testiranja in vzpostavitev prvotnega stanja svetilk.</w:t>
      </w:r>
    </w:p>
    <w:p w14:paraId="43959BB7" w14:textId="3FEC5EF6" w:rsidR="00F81CA3" w:rsidRDefault="00000000">
      <w:pPr>
        <w:pStyle w:val="Odstavekseznama"/>
        <w:numPr>
          <w:ilvl w:val="0"/>
          <w:numId w:val="2"/>
        </w:numPr>
        <w:spacing w:after="120" w:line="276" w:lineRule="auto"/>
        <w:jc w:val="both"/>
      </w:pPr>
      <w:r>
        <w:t>Kratko zaključno poročilo o delovanju svojega sistema v testnem obdobju.</w:t>
      </w:r>
    </w:p>
    <w:p w14:paraId="43959BB8" w14:textId="77777777" w:rsidR="00F81CA3" w:rsidRDefault="00000000">
      <w:pPr>
        <w:spacing w:before="280" w:after="160"/>
      </w:pPr>
      <w:r>
        <w:rPr>
          <w:b/>
          <w:bCs/>
          <w:sz w:val="26"/>
          <w:szCs w:val="26"/>
        </w:rPr>
        <w:t>4. Potek testiranja</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5400"/>
        <w:gridCol w:w="1900"/>
      </w:tblGrid>
      <w:tr w:rsidR="00F81CA3" w14:paraId="43959BBC" w14:textId="77777777">
        <w:tblPrEx>
          <w:tblCellMar>
            <w:top w:w="0" w:type="dxa"/>
            <w:bottom w:w="0" w:type="dxa"/>
          </w:tblCellMar>
        </w:tblPrEx>
        <w:tc>
          <w:tcPr>
            <w:tcW w:w="1900" w:type="dxa"/>
            <w:shd w:val="clear" w:color="auto" w:fill="D9E2F3"/>
            <w:tcMar>
              <w:top w:w="60" w:type="dxa"/>
              <w:left w:w="100" w:type="dxa"/>
              <w:bottom w:w="60" w:type="dxa"/>
              <w:right w:w="100" w:type="dxa"/>
            </w:tcMar>
          </w:tcPr>
          <w:p w14:paraId="43959BB9" w14:textId="77777777" w:rsidR="00F81CA3" w:rsidRDefault="00000000">
            <w:r>
              <w:rPr>
                <w:b/>
                <w:bCs/>
                <w:sz w:val="20"/>
                <w:szCs w:val="20"/>
              </w:rPr>
              <w:t>Faza</w:t>
            </w:r>
          </w:p>
        </w:tc>
        <w:tc>
          <w:tcPr>
            <w:tcW w:w="5400" w:type="dxa"/>
            <w:shd w:val="clear" w:color="auto" w:fill="D9E2F3"/>
            <w:tcMar>
              <w:top w:w="60" w:type="dxa"/>
              <w:left w:w="100" w:type="dxa"/>
              <w:bottom w:w="60" w:type="dxa"/>
              <w:right w:w="100" w:type="dxa"/>
            </w:tcMar>
          </w:tcPr>
          <w:p w14:paraId="43959BBA" w14:textId="77777777" w:rsidR="00F81CA3" w:rsidRDefault="00000000">
            <w:r>
              <w:rPr>
                <w:b/>
                <w:bCs/>
                <w:sz w:val="20"/>
                <w:szCs w:val="20"/>
              </w:rPr>
              <w:t>Vsebina</w:t>
            </w:r>
          </w:p>
        </w:tc>
        <w:tc>
          <w:tcPr>
            <w:tcW w:w="1900" w:type="dxa"/>
            <w:shd w:val="clear" w:color="auto" w:fill="D9E2F3"/>
            <w:tcMar>
              <w:top w:w="60" w:type="dxa"/>
              <w:left w:w="100" w:type="dxa"/>
              <w:bottom w:w="60" w:type="dxa"/>
              <w:right w:w="100" w:type="dxa"/>
            </w:tcMar>
          </w:tcPr>
          <w:p w14:paraId="43959BBB" w14:textId="77777777" w:rsidR="00F81CA3" w:rsidRDefault="00000000">
            <w:r>
              <w:rPr>
                <w:b/>
                <w:bCs/>
                <w:sz w:val="20"/>
                <w:szCs w:val="20"/>
              </w:rPr>
              <w:t>Termin</w:t>
            </w:r>
          </w:p>
        </w:tc>
      </w:tr>
      <w:tr w:rsidR="00F81CA3" w14:paraId="43959BC0" w14:textId="77777777">
        <w:tblPrEx>
          <w:tblCellMar>
            <w:top w:w="0" w:type="dxa"/>
            <w:bottom w:w="0" w:type="dxa"/>
          </w:tblCellMar>
        </w:tblPrEx>
        <w:tc>
          <w:tcPr>
            <w:tcW w:w="1900" w:type="dxa"/>
            <w:tcMar>
              <w:top w:w="60" w:type="dxa"/>
              <w:left w:w="100" w:type="dxa"/>
              <w:bottom w:w="60" w:type="dxa"/>
              <w:right w:w="100" w:type="dxa"/>
            </w:tcMar>
          </w:tcPr>
          <w:p w14:paraId="43959BBD" w14:textId="77777777" w:rsidR="00F81CA3" w:rsidRDefault="00000000">
            <w:r>
              <w:rPr>
                <w:sz w:val="20"/>
                <w:szCs w:val="20"/>
              </w:rPr>
              <w:t>Zagon</w:t>
            </w:r>
          </w:p>
        </w:tc>
        <w:tc>
          <w:tcPr>
            <w:tcW w:w="5400" w:type="dxa"/>
            <w:tcMar>
              <w:top w:w="60" w:type="dxa"/>
              <w:left w:w="100" w:type="dxa"/>
              <w:bottom w:w="60" w:type="dxa"/>
              <w:right w:w="100" w:type="dxa"/>
            </w:tcMar>
          </w:tcPr>
          <w:p w14:paraId="43959BBE" w14:textId="77777777" w:rsidR="00F81CA3" w:rsidRDefault="00000000">
            <w:r>
              <w:rPr>
                <w:sz w:val="20"/>
                <w:szCs w:val="20"/>
              </w:rPr>
              <w:t>Namestitev naprav, priklop na Zhaga vtičnice, registracija v CMS, preverjanje vidnosti vseh naprav</w:t>
            </w:r>
          </w:p>
        </w:tc>
        <w:tc>
          <w:tcPr>
            <w:tcW w:w="1900" w:type="dxa"/>
            <w:tcMar>
              <w:top w:w="60" w:type="dxa"/>
              <w:left w:w="100" w:type="dxa"/>
              <w:bottom w:w="60" w:type="dxa"/>
              <w:right w:w="100" w:type="dxa"/>
            </w:tcMar>
          </w:tcPr>
          <w:p w14:paraId="43959BBF" w14:textId="77777777" w:rsidR="00F81CA3" w:rsidRDefault="00000000">
            <w:r>
              <w:rPr>
                <w:sz w:val="20"/>
                <w:szCs w:val="20"/>
              </w:rPr>
              <w:t>oktober 2026</w:t>
            </w:r>
          </w:p>
        </w:tc>
      </w:tr>
      <w:tr w:rsidR="00F81CA3" w14:paraId="43959BC4" w14:textId="77777777">
        <w:tblPrEx>
          <w:tblCellMar>
            <w:top w:w="0" w:type="dxa"/>
            <w:bottom w:w="0" w:type="dxa"/>
          </w:tblCellMar>
        </w:tblPrEx>
        <w:tc>
          <w:tcPr>
            <w:tcW w:w="1900" w:type="dxa"/>
            <w:tcMar>
              <w:top w:w="60" w:type="dxa"/>
              <w:left w:w="100" w:type="dxa"/>
              <w:bottom w:w="60" w:type="dxa"/>
              <w:right w:w="100" w:type="dxa"/>
            </w:tcMar>
          </w:tcPr>
          <w:p w14:paraId="43959BC1" w14:textId="77777777" w:rsidR="00F81CA3" w:rsidRDefault="00000000">
            <w:r>
              <w:rPr>
                <w:sz w:val="20"/>
                <w:szCs w:val="20"/>
              </w:rPr>
              <w:t>Redno obratovanje</w:t>
            </w:r>
          </w:p>
        </w:tc>
        <w:tc>
          <w:tcPr>
            <w:tcW w:w="5400" w:type="dxa"/>
            <w:tcMar>
              <w:top w:w="60" w:type="dxa"/>
              <w:left w:w="100" w:type="dxa"/>
              <w:bottom w:w="60" w:type="dxa"/>
              <w:right w:w="100" w:type="dxa"/>
            </w:tcMar>
          </w:tcPr>
          <w:p w14:paraId="43959BC2" w14:textId="77777777" w:rsidR="00F81CA3" w:rsidRDefault="00000000">
            <w:r>
              <w:rPr>
                <w:sz w:val="20"/>
                <w:szCs w:val="20"/>
              </w:rPr>
              <w:t>Delovanje po dogovorjenem redukcijskem profilu (enak profil za vse sodelujoče), zajem podatkov</w:t>
            </w:r>
          </w:p>
        </w:tc>
        <w:tc>
          <w:tcPr>
            <w:tcW w:w="1900" w:type="dxa"/>
            <w:tcMar>
              <w:top w:w="60" w:type="dxa"/>
              <w:left w:w="100" w:type="dxa"/>
              <w:bottom w:w="60" w:type="dxa"/>
              <w:right w:w="100" w:type="dxa"/>
            </w:tcMar>
          </w:tcPr>
          <w:p w14:paraId="43959BC3" w14:textId="77777777" w:rsidR="00F81CA3" w:rsidRDefault="00000000">
            <w:r>
              <w:rPr>
                <w:sz w:val="20"/>
                <w:szCs w:val="20"/>
              </w:rPr>
              <w:t>oktober–december 2026</w:t>
            </w:r>
          </w:p>
        </w:tc>
      </w:tr>
      <w:tr w:rsidR="00F81CA3" w14:paraId="43959BC8" w14:textId="77777777">
        <w:tblPrEx>
          <w:tblCellMar>
            <w:top w:w="0" w:type="dxa"/>
            <w:bottom w:w="0" w:type="dxa"/>
          </w:tblCellMar>
        </w:tblPrEx>
        <w:tc>
          <w:tcPr>
            <w:tcW w:w="1900" w:type="dxa"/>
            <w:tcMar>
              <w:top w:w="60" w:type="dxa"/>
              <w:left w:w="100" w:type="dxa"/>
              <w:bottom w:w="60" w:type="dxa"/>
              <w:right w:w="100" w:type="dxa"/>
            </w:tcMar>
          </w:tcPr>
          <w:p w14:paraId="43959BC5" w14:textId="77777777" w:rsidR="00F81CA3" w:rsidRDefault="00000000">
            <w:r>
              <w:rPr>
                <w:sz w:val="20"/>
                <w:szCs w:val="20"/>
              </w:rPr>
              <w:t>Funkcijski preizkusi</w:t>
            </w:r>
          </w:p>
        </w:tc>
        <w:tc>
          <w:tcPr>
            <w:tcW w:w="5400" w:type="dxa"/>
            <w:tcMar>
              <w:top w:w="60" w:type="dxa"/>
              <w:left w:w="100" w:type="dxa"/>
              <w:bottom w:w="60" w:type="dxa"/>
              <w:right w:w="100" w:type="dxa"/>
            </w:tcMar>
          </w:tcPr>
          <w:p w14:paraId="43959BC6" w14:textId="77777777" w:rsidR="00F81CA3" w:rsidRDefault="00000000">
            <w:r>
              <w:rPr>
                <w:sz w:val="20"/>
                <w:szCs w:val="20"/>
              </w:rPr>
              <w:t>Daljinski ukazi, spremembe profilov, branje D4i podatkov, izvoz podatkov prek API</w:t>
            </w:r>
          </w:p>
        </w:tc>
        <w:tc>
          <w:tcPr>
            <w:tcW w:w="1900" w:type="dxa"/>
            <w:tcMar>
              <w:top w:w="60" w:type="dxa"/>
              <w:left w:w="100" w:type="dxa"/>
              <w:bottom w:w="60" w:type="dxa"/>
              <w:right w:w="100" w:type="dxa"/>
            </w:tcMar>
          </w:tcPr>
          <w:p w14:paraId="43959BC7" w14:textId="77777777" w:rsidR="00F81CA3" w:rsidRDefault="00000000">
            <w:r>
              <w:rPr>
                <w:sz w:val="20"/>
                <w:szCs w:val="20"/>
              </w:rPr>
              <w:t>november 2026</w:t>
            </w:r>
          </w:p>
        </w:tc>
      </w:tr>
      <w:tr w:rsidR="00F81CA3" w14:paraId="43959BCC" w14:textId="77777777">
        <w:tblPrEx>
          <w:tblCellMar>
            <w:top w:w="0" w:type="dxa"/>
            <w:bottom w:w="0" w:type="dxa"/>
          </w:tblCellMar>
        </w:tblPrEx>
        <w:tc>
          <w:tcPr>
            <w:tcW w:w="1900" w:type="dxa"/>
            <w:tcMar>
              <w:top w:w="60" w:type="dxa"/>
              <w:left w:w="100" w:type="dxa"/>
              <w:bottom w:w="60" w:type="dxa"/>
              <w:right w:w="100" w:type="dxa"/>
            </w:tcMar>
          </w:tcPr>
          <w:p w14:paraId="43959BC9" w14:textId="77777777" w:rsidR="00F81CA3" w:rsidRDefault="00000000">
            <w:r>
              <w:rPr>
                <w:sz w:val="20"/>
                <w:szCs w:val="20"/>
              </w:rPr>
              <w:t>Simulacija okvar</w:t>
            </w:r>
          </w:p>
        </w:tc>
        <w:tc>
          <w:tcPr>
            <w:tcW w:w="5400" w:type="dxa"/>
            <w:tcMar>
              <w:top w:w="60" w:type="dxa"/>
              <w:left w:w="100" w:type="dxa"/>
              <w:bottom w:w="60" w:type="dxa"/>
              <w:right w:w="100" w:type="dxa"/>
            </w:tcMar>
          </w:tcPr>
          <w:p w14:paraId="43959BCA" w14:textId="77777777" w:rsidR="00F81CA3" w:rsidRDefault="00000000">
            <w:r>
              <w:rPr>
                <w:sz w:val="20"/>
                <w:szCs w:val="20"/>
              </w:rPr>
              <w:t>Nadzorovani izklopi posameznih svetilk; merjenje časa do alarma v CMS</w:t>
            </w:r>
          </w:p>
        </w:tc>
        <w:tc>
          <w:tcPr>
            <w:tcW w:w="1900" w:type="dxa"/>
            <w:tcMar>
              <w:top w:w="60" w:type="dxa"/>
              <w:left w:w="100" w:type="dxa"/>
              <w:bottom w:w="60" w:type="dxa"/>
              <w:right w:w="100" w:type="dxa"/>
            </w:tcMar>
          </w:tcPr>
          <w:p w14:paraId="43959BCB" w14:textId="77777777" w:rsidR="00F81CA3" w:rsidRDefault="00000000">
            <w:r>
              <w:rPr>
                <w:sz w:val="20"/>
                <w:szCs w:val="20"/>
              </w:rPr>
              <w:t>november 2026</w:t>
            </w:r>
          </w:p>
        </w:tc>
      </w:tr>
      <w:tr w:rsidR="00F81CA3" w14:paraId="43959BD0" w14:textId="77777777">
        <w:tblPrEx>
          <w:tblCellMar>
            <w:top w:w="0" w:type="dxa"/>
            <w:bottom w:w="0" w:type="dxa"/>
          </w:tblCellMar>
        </w:tblPrEx>
        <w:tc>
          <w:tcPr>
            <w:tcW w:w="1900" w:type="dxa"/>
            <w:tcMar>
              <w:top w:w="60" w:type="dxa"/>
              <w:left w:w="100" w:type="dxa"/>
              <w:bottom w:w="60" w:type="dxa"/>
              <w:right w:w="100" w:type="dxa"/>
            </w:tcMar>
          </w:tcPr>
          <w:p w14:paraId="43959BCD" w14:textId="77777777" w:rsidR="00F81CA3" w:rsidRDefault="00000000">
            <w:r>
              <w:rPr>
                <w:sz w:val="20"/>
                <w:szCs w:val="20"/>
              </w:rPr>
              <w:lastRenderedPageBreak/>
              <w:t>Preizkus interoperabilnosti</w:t>
            </w:r>
          </w:p>
        </w:tc>
        <w:tc>
          <w:tcPr>
            <w:tcW w:w="5400" w:type="dxa"/>
            <w:tcMar>
              <w:top w:w="60" w:type="dxa"/>
              <w:left w:w="100" w:type="dxa"/>
              <w:bottom w:w="60" w:type="dxa"/>
              <w:right w:w="100" w:type="dxa"/>
            </w:tcMar>
          </w:tcPr>
          <w:p w14:paraId="43959BCE" w14:textId="77777777" w:rsidR="00F81CA3" w:rsidRDefault="00000000">
            <w:r>
              <w:rPr>
                <w:sz w:val="20"/>
                <w:szCs w:val="20"/>
              </w:rPr>
              <w:t>Branje D4i podatkov iz svetilk različnih proizvajalcev; po možnosti prikaz naprav v CMS drugega sodelujočega (TALQ)</w:t>
            </w:r>
          </w:p>
        </w:tc>
        <w:tc>
          <w:tcPr>
            <w:tcW w:w="1900" w:type="dxa"/>
            <w:tcMar>
              <w:top w:w="60" w:type="dxa"/>
              <w:left w:w="100" w:type="dxa"/>
              <w:bottom w:w="60" w:type="dxa"/>
              <w:right w:w="100" w:type="dxa"/>
            </w:tcMar>
          </w:tcPr>
          <w:p w14:paraId="43959BCF" w14:textId="77777777" w:rsidR="00F81CA3" w:rsidRDefault="00000000">
            <w:r>
              <w:rPr>
                <w:sz w:val="20"/>
                <w:szCs w:val="20"/>
              </w:rPr>
              <w:t>december 2026</w:t>
            </w:r>
          </w:p>
        </w:tc>
      </w:tr>
      <w:tr w:rsidR="00F81CA3" w14:paraId="43959BD4" w14:textId="77777777">
        <w:tblPrEx>
          <w:tblCellMar>
            <w:top w:w="0" w:type="dxa"/>
            <w:bottom w:w="0" w:type="dxa"/>
          </w:tblCellMar>
        </w:tblPrEx>
        <w:tc>
          <w:tcPr>
            <w:tcW w:w="1900" w:type="dxa"/>
            <w:tcMar>
              <w:top w:w="60" w:type="dxa"/>
              <w:left w:w="100" w:type="dxa"/>
              <w:bottom w:w="60" w:type="dxa"/>
              <w:right w:w="100" w:type="dxa"/>
            </w:tcMar>
          </w:tcPr>
          <w:p w14:paraId="43959BD1" w14:textId="77777777" w:rsidR="00F81CA3" w:rsidRDefault="00000000">
            <w:r>
              <w:rPr>
                <w:sz w:val="20"/>
                <w:szCs w:val="20"/>
              </w:rPr>
              <w:t>Zaključek</w:t>
            </w:r>
          </w:p>
        </w:tc>
        <w:tc>
          <w:tcPr>
            <w:tcW w:w="5400" w:type="dxa"/>
            <w:tcMar>
              <w:top w:w="60" w:type="dxa"/>
              <w:left w:w="100" w:type="dxa"/>
              <w:bottom w:w="60" w:type="dxa"/>
              <w:right w:w="100" w:type="dxa"/>
            </w:tcMar>
          </w:tcPr>
          <w:p w14:paraId="43959BD2" w14:textId="77777777" w:rsidR="00F81CA3" w:rsidRDefault="00000000">
            <w:r>
              <w:rPr>
                <w:sz w:val="20"/>
                <w:szCs w:val="20"/>
              </w:rPr>
              <w:t>Zbiranje podatkov, poročila sodelujočih, odstranitev opreme</w:t>
            </w:r>
          </w:p>
        </w:tc>
        <w:tc>
          <w:tcPr>
            <w:tcW w:w="1900" w:type="dxa"/>
            <w:tcMar>
              <w:top w:w="60" w:type="dxa"/>
              <w:left w:w="100" w:type="dxa"/>
              <w:bottom w:w="60" w:type="dxa"/>
              <w:right w:w="100" w:type="dxa"/>
            </w:tcMar>
          </w:tcPr>
          <w:p w14:paraId="43959BD3" w14:textId="5238EF84" w:rsidR="00F81CA3" w:rsidRDefault="00000000">
            <w:r>
              <w:rPr>
                <w:sz w:val="20"/>
                <w:szCs w:val="20"/>
              </w:rPr>
              <w:t>januar 2027</w:t>
            </w:r>
          </w:p>
        </w:tc>
      </w:tr>
    </w:tbl>
    <w:p w14:paraId="43959BD5" w14:textId="516C9850" w:rsidR="00F81CA3" w:rsidRDefault="00000000">
      <w:pPr>
        <w:spacing w:after="120" w:line="276" w:lineRule="auto"/>
        <w:jc w:val="both"/>
      </w:pPr>
      <w:r>
        <w:t>Podrobni terminski načrt funkcijskih preizkusov bo dogovorjen na uvodnem sestanku in bo enak za vse sodelujoče.</w:t>
      </w:r>
    </w:p>
    <w:p w14:paraId="43959BD6" w14:textId="77777777" w:rsidR="00F81CA3" w:rsidRDefault="00000000">
      <w:pPr>
        <w:spacing w:before="280" w:after="160"/>
      </w:pPr>
      <w:r>
        <w:rPr>
          <w:b/>
          <w:bCs/>
          <w:sz w:val="26"/>
          <w:szCs w:val="26"/>
        </w:rPr>
        <w:t>5. Kazalniki (KPI)</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2450"/>
        <w:gridCol w:w="4250"/>
        <w:gridCol w:w="1800"/>
      </w:tblGrid>
      <w:tr w:rsidR="00F81CA3" w14:paraId="43959BDB" w14:textId="77777777">
        <w:tblPrEx>
          <w:tblCellMar>
            <w:top w:w="0" w:type="dxa"/>
            <w:bottom w:w="0" w:type="dxa"/>
          </w:tblCellMar>
        </w:tblPrEx>
        <w:tc>
          <w:tcPr>
            <w:tcW w:w="700" w:type="dxa"/>
            <w:shd w:val="clear" w:color="auto" w:fill="D9E2F3"/>
            <w:tcMar>
              <w:top w:w="60" w:type="dxa"/>
              <w:left w:w="100" w:type="dxa"/>
              <w:bottom w:w="60" w:type="dxa"/>
              <w:right w:w="100" w:type="dxa"/>
            </w:tcMar>
          </w:tcPr>
          <w:p w14:paraId="43959BD7" w14:textId="77777777" w:rsidR="00F81CA3" w:rsidRDefault="00000000">
            <w:r>
              <w:rPr>
                <w:b/>
                <w:bCs/>
                <w:sz w:val="20"/>
                <w:szCs w:val="20"/>
              </w:rPr>
              <w:t>Št.</w:t>
            </w:r>
          </w:p>
        </w:tc>
        <w:tc>
          <w:tcPr>
            <w:tcW w:w="2450" w:type="dxa"/>
            <w:shd w:val="clear" w:color="auto" w:fill="D9E2F3"/>
            <w:tcMar>
              <w:top w:w="60" w:type="dxa"/>
              <w:left w:w="100" w:type="dxa"/>
              <w:bottom w:w="60" w:type="dxa"/>
              <w:right w:w="100" w:type="dxa"/>
            </w:tcMar>
          </w:tcPr>
          <w:p w14:paraId="43959BD8" w14:textId="77777777" w:rsidR="00F81CA3" w:rsidRDefault="00000000">
            <w:r>
              <w:rPr>
                <w:b/>
                <w:bCs/>
                <w:sz w:val="20"/>
                <w:szCs w:val="20"/>
              </w:rPr>
              <w:t>Kazalnik</w:t>
            </w:r>
          </w:p>
        </w:tc>
        <w:tc>
          <w:tcPr>
            <w:tcW w:w="4250" w:type="dxa"/>
            <w:shd w:val="clear" w:color="auto" w:fill="D9E2F3"/>
            <w:tcMar>
              <w:top w:w="60" w:type="dxa"/>
              <w:left w:w="100" w:type="dxa"/>
              <w:bottom w:w="60" w:type="dxa"/>
              <w:right w:w="100" w:type="dxa"/>
            </w:tcMar>
          </w:tcPr>
          <w:p w14:paraId="43959BD9" w14:textId="77777777" w:rsidR="00F81CA3" w:rsidRDefault="00000000">
            <w:r>
              <w:rPr>
                <w:b/>
                <w:bCs/>
                <w:sz w:val="20"/>
                <w:szCs w:val="20"/>
              </w:rPr>
              <w:t>Merilo</w:t>
            </w:r>
          </w:p>
        </w:tc>
        <w:tc>
          <w:tcPr>
            <w:tcW w:w="1800" w:type="dxa"/>
            <w:shd w:val="clear" w:color="auto" w:fill="D9E2F3"/>
            <w:tcMar>
              <w:top w:w="60" w:type="dxa"/>
              <w:left w:w="100" w:type="dxa"/>
              <w:bottom w:w="60" w:type="dxa"/>
              <w:right w:w="100" w:type="dxa"/>
            </w:tcMar>
          </w:tcPr>
          <w:p w14:paraId="43959BDA" w14:textId="77777777" w:rsidR="00F81CA3" w:rsidRDefault="00000000">
            <w:r>
              <w:rPr>
                <w:b/>
                <w:bCs/>
                <w:sz w:val="20"/>
                <w:szCs w:val="20"/>
              </w:rPr>
              <w:t>Ciljna vrednost</w:t>
            </w:r>
          </w:p>
        </w:tc>
      </w:tr>
      <w:tr w:rsidR="00F81CA3" w14:paraId="43959BE0" w14:textId="77777777">
        <w:tblPrEx>
          <w:tblCellMar>
            <w:top w:w="0" w:type="dxa"/>
            <w:bottom w:w="0" w:type="dxa"/>
          </w:tblCellMar>
        </w:tblPrEx>
        <w:tc>
          <w:tcPr>
            <w:tcW w:w="700" w:type="dxa"/>
            <w:tcMar>
              <w:top w:w="60" w:type="dxa"/>
              <w:left w:w="100" w:type="dxa"/>
              <w:bottom w:w="60" w:type="dxa"/>
              <w:right w:w="100" w:type="dxa"/>
            </w:tcMar>
          </w:tcPr>
          <w:p w14:paraId="43959BDC" w14:textId="77777777" w:rsidR="00F81CA3" w:rsidRDefault="00000000">
            <w:r>
              <w:rPr>
                <w:sz w:val="20"/>
                <w:szCs w:val="20"/>
              </w:rPr>
              <w:t>1</w:t>
            </w:r>
          </w:p>
        </w:tc>
        <w:tc>
          <w:tcPr>
            <w:tcW w:w="2450" w:type="dxa"/>
            <w:tcMar>
              <w:top w:w="60" w:type="dxa"/>
              <w:left w:w="100" w:type="dxa"/>
              <w:bottom w:w="60" w:type="dxa"/>
              <w:right w:w="100" w:type="dxa"/>
            </w:tcMar>
          </w:tcPr>
          <w:p w14:paraId="43959BDD" w14:textId="77777777" w:rsidR="00F81CA3" w:rsidRDefault="00000000">
            <w:r>
              <w:rPr>
                <w:sz w:val="20"/>
                <w:szCs w:val="20"/>
              </w:rPr>
              <w:t>Uspešnost zagona</w:t>
            </w:r>
          </w:p>
        </w:tc>
        <w:tc>
          <w:tcPr>
            <w:tcW w:w="4250" w:type="dxa"/>
            <w:tcMar>
              <w:top w:w="60" w:type="dxa"/>
              <w:left w:w="100" w:type="dxa"/>
              <w:bottom w:w="60" w:type="dxa"/>
              <w:right w:w="100" w:type="dxa"/>
            </w:tcMar>
          </w:tcPr>
          <w:p w14:paraId="43959BDE" w14:textId="77777777" w:rsidR="00F81CA3" w:rsidRDefault="00000000">
            <w:r>
              <w:rPr>
                <w:sz w:val="20"/>
                <w:szCs w:val="20"/>
              </w:rPr>
              <w:t>Delež naprav, uspešno priklopljenih in vidnih v CMS v 5 delovnih dneh po namestitvi</w:t>
            </w:r>
          </w:p>
        </w:tc>
        <w:tc>
          <w:tcPr>
            <w:tcW w:w="1800" w:type="dxa"/>
            <w:tcMar>
              <w:top w:w="60" w:type="dxa"/>
              <w:left w:w="100" w:type="dxa"/>
              <w:bottom w:w="60" w:type="dxa"/>
              <w:right w:w="100" w:type="dxa"/>
            </w:tcMar>
          </w:tcPr>
          <w:p w14:paraId="43959BDF" w14:textId="77777777" w:rsidR="00F81CA3" w:rsidRDefault="00000000">
            <w:r>
              <w:rPr>
                <w:sz w:val="20"/>
                <w:szCs w:val="20"/>
              </w:rPr>
              <w:t>≥ 95 %</w:t>
            </w:r>
          </w:p>
        </w:tc>
      </w:tr>
      <w:tr w:rsidR="00F81CA3" w14:paraId="43959BE5" w14:textId="77777777">
        <w:tblPrEx>
          <w:tblCellMar>
            <w:top w:w="0" w:type="dxa"/>
            <w:bottom w:w="0" w:type="dxa"/>
          </w:tblCellMar>
        </w:tblPrEx>
        <w:tc>
          <w:tcPr>
            <w:tcW w:w="700" w:type="dxa"/>
            <w:tcMar>
              <w:top w:w="60" w:type="dxa"/>
              <w:left w:w="100" w:type="dxa"/>
              <w:bottom w:w="60" w:type="dxa"/>
              <w:right w:w="100" w:type="dxa"/>
            </w:tcMar>
          </w:tcPr>
          <w:p w14:paraId="43959BE1" w14:textId="77777777" w:rsidR="00F81CA3" w:rsidRDefault="00000000">
            <w:r>
              <w:rPr>
                <w:sz w:val="20"/>
                <w:szCs w:val="20"/>
              </w:rPr>
              <w:t>2</w:t>
            </w:r>
          </w:p>
        </w:tc>
        <w:tc>
          <w:tcPr>
            <w:tcW w:w="2450" w:type="dxa"/>
            <w:tcMar>
              <w:top w:w="60" w:type="dxa"/>
              <w:left w:w="100" w:type="dxa"/>
              <w:bottom w:w="60" w:type="dxa"/>
              <w:right w:w="100" w:type="dxa"/>
            </w:tcMar>
          </w:tcPr>
          <w:p w14:paraId="43959BE2" w14:textId="77777777" w:rsidR="00F81CA3" w:rsidRDefault="00000000">
            <w:r>
              <w:rPr>
                <w:sz w:val="20"/>
                <w:szCs w:val="20"/>
              </w:rPr>
              <w:t>Interoperabilnost D4i</w:t>
            </w:r>
          </w:p>
        </w:tc>
        <w:tc>
          <w:tcPr>
            <w:tcW w:w="4250" w:type="dxa"/>
            <w:tcMar>
              <w:top w:w="60" w:type="dxa"/>
              <w:left w:w="100" w:type="dxa"/>
              <w:bottom w:w="60" w:type="dxa"/>
              <w:right w:w="100" w:type="dxa"/>
            </w:tcMar>
          </w:tcPr>
          <w:p w14:paraId="43959BE3" w14:textId="77777777" w:rsidR="00F81CA3" w:rsidRDefault="00000000">
            <w:r>
              <w:rPr>
                <w:sz w:val="20"/>
                <w:szCs w:val="20"/>
              </w:rPr>
              <w:t>Branje dogovorjenega nabora podatkovnih točk iz gonilnikov D4i svetilk različnih proizvajalcev</w:t>
            </w:r>
          </w:p>
        </w:tc>
        <w:tc>
          <w:tcPr>
            <w:tcW w:w="1800" w:type="dxa"/>
            <w:tcMar>
              <w:top w:w="60" w:type="dxa"/>
              <w:left w:w="100" w:type="dxa"/>
              <w:bottom w:w="60" w:type="dxa"/>
              <w:right w:w="100" w:type="dxa"/>
            </w:tcMar>
          </w:tcPr>
          <w:p w14:paraId="43959BE4" w14:textId="77777777" w:rsidR="00F81CA3" w:rsidRDefault="00000000">
            <w:r>
              <w:rPr>
                <w:sz w:val="20"/>
                <w:szCs w:val="20"/>
              </w:rPr>
              <w:t>izpolnjeno / delno / ne</w:t>
            </w:r>
          </w:p>
        </w:tc>
      </w:tr>
      <w:tr w:rsidR="00F81CA3" w14:paraId="43959BEA" w14:textId="77777777">
        <w:tblPrEx>
          <w:tblCellMar>
            <w:top w:w="0" w:type="dxa"/>
            <w:bottom w:w="0" w:type="dxa"/>
          </w:tblCellMar>
        </w:tblPrEx>
        <w:tc>
          <w:tcPr>
            <w:tcW w:w="700" w:type="dxa"/>
            <w:tcMar>
              <w:top w:w="60" w:type="dxa"/>
              <w:left w:w="100" w:type="dxa"/>
              <w:bottom w:w="60" w:type="dxa"/>
              <w:right w:w="100" w:type="dxa"/>
            </w:tcMar>
          </w:tcPr>
          <w:p w14:paraId="43959BE6" w14:textId="77777777" w:rsidR="00F81CA3" w:rsidRDefault="00000000">
            <w:r>
              <w:rPr>
                <w:sz w:val="20"/>
                <w:szCs w:val="20"/>
              </w:rPr>
              <w:t>3</w:t>
            </w:r>
          </w:p>
        </w:tc>
        <w:tc>
          <w:tcPr>
            <w:tcW w:w="2450" w:type="dxa"/>
            <w:tcMar>
              <w:top w:w="60" w:type="dxa"/>
              <w:left w:w="100" w:type="dxa"/>
              <w:bottom w:w="60" w:type="dxa"/>
              <w:right w:w="100" w:type="dxa"/>
            </w:tcMar>
          </w:tcPr>
          <w:p w14:paraId="43959BE7" w14:textId="77777777" w:rsidR="00F81CA3" w:rsidRDefault="00000000">
            <w:r>
              <w:rPr>
                <w:sz w:val="20"/>
                <w:szCs w:val="20"/>
              </w:rPr>
              <w:t>Zanesljivost ukazov</w:t>
            </w:r>
          </w:p>
        </w:tc>
        <w:tc>
          <w:tcPr>
            <w:tcW w:w="4250" w:type="dxa"/>
            <w:tcMar>
              <w:top w:w="60" w:type="dxa"/>
              <w:left w:w="100" w:type="dxa"/>
              <w:bottom w:w="60" w:type="dxa"/>
              <w:right w:w="100" w:type="dxa"/>
            </w:tcMar>
          </w:tcPr>
          <w:p w14:paraId="43959BE8" w14:textId="77777777" w:rsidR="00F81CA3" w:rsidRDefault="00000000">
            <w:r>
              <w:rPr>
                <w:sz w:val="20"/>
                <w:szCs w:val="20"/>
              </w:rPr>
              <w:t>Delež uspešno izvedenih daljinskih ukazov redukcije</w:t>
            </w:r>
          </w:p>
        </w:tc>
        <w:tc>
          <w:tcPr>
            <w:tcW w:w="1800" w:type="dxa"/>
            <w:tcMar>
              <w:top w:w="60" w:type="dxa"/>
              <w:left w:w="100" w:type="dxa"/>
              <w:bottom w:w="60" w:type="dxa"/>
              <w:right w:w="100" w:type="dxa"/>
            </w:tcMar>
          </w:tcPr>
          <w:p w14:paraId="43959BE9" w14:textId="77777777" w:rsidR="00F81CA3" w:rsidRDefault="00000000">
            <w:r>
              <w:rPr>
                <w:sz w:val="20"/>
                <w:szCs w:val="20"/>
              </w:rPr>
              <w:t>≥ 98 %</w:t>
            </w:r>
          </w:p>
        </w:tc>
      </w:tr>
      <w:tr w:rsidR="00F81CA3" w14:paraId="43959BEF" w14:textId="77777777">
        <w:tblPrEx>
          <w:tblCellMar>
            <w:top w:w="0" w:type="dxa"/>
            <w:bottom w:w="0" w:type="dxa"/>
          </w:tblCellMar>
        </w:tblPrEx>
        <w:tc>
          <w:tcPr>
            <w:tcW w:w="700" w:type="dxa"/>
            <w:tcMar>
              <w:top w:w="60" w:type="dxa"/>
              <w:left w:w="100" w:type="dxa"/>
              <w:bottom w:w="60" w:type="dxa"/>
              <w:right w:w="100" w:type="dxa"/>
            </w:tcMar>
          </w:tcPr>
          <w:p w14:paraId="43959BEB" w14:textId="77777777" w:rsidR="00F81CA3" w:rsidRDefault="00000000">
            <w:r>
              <w:rPr>
                <w:sz w:val="20"/>
                <w:szCs w:val="20"/>
              </w:rPr>
              <w:t>4</w:t>
            </w:r>
          </w:p>
        </w:tc>
        <w:tc>
          <w:tcPr>
            <w:tcW w:w="2450" w:type="dxa"/>
            <w:tcMar>
              <w:top w:w="60" w:type="dxa"/>
              <w:left w:w="100" w:type="dxa"/>
              <w:bottom w:w="60" w:type="dxa"/>
              <w:right w:w="100" w:type="dxa"/>
            </w:tcMar>
          </w:tcPr>
          <w:p w14:paraId="43959BEC" w14:textId="77777777" w:rsidR="00F81CA3" w:rsidRDefault="00000000">
            <w:r>
              <w:rPr>
                <w:sz w:val="20"/>
                <w:szCs w:val="20"/>
              </w:rPr>
              <w:t>Razpoložljivost</w:t>
            </w:r>
          </w:p>
        </w:tc>
        <w:tc>
          <w:tcPr>
            <w:tcW w:w="4250" w:type="dxa"/>
            <w:tcMar>
              <w:top w:w="60" w:type="dxa"/>
              <w:left w:w="100" w:type="dxa"/>
              <w:bottom w:w="60" w:type="dxa"/>
              <w:right w:w="100" w:type="dxa"/>
            </w:tcMar>
          </w:tcPr>
          <w:p w14:paraId="43959BED" w14:textId="77777777" w:rsidR="00F81CA3" w:rsidRDefault="00000000">
            <w:r>
              <w:rPr>
                <w:sz w:val="20"/>
                <w:szCs w:val="20"/>
              </w:rPr>
              <w:t>Delež časa, ko so naprave dosegljive (online) v testnem obdobju</w:t>
            </w:r>
          </w:p>
        </w:tc>
        <w:tc>
          <w:tcPr>
            <w:tcW w:w="1800" w:type="dxa"/>
            <w:tcMar>
              <w:top w:w="60" w:type="dxa"/>
              <w:left w:w="100" w:type="dxa"/>
              <w:bottom w:w="60" w:type="dxa"/>
              <w:right w:w="100" w:type="dxa"/>
            </w:tcMar>
          </w:tcPr>
          <w:p w14:paraId="43959BEE" w14:textId="77777777" w:rsidR="00F81CA3" w:rsidRDefault="00000000">
            <w:r>
              <w:rPr>
                <w:sz w:val="20"/>
                <w:szCs w:val="20"/>
              </w:rPr>
              <w:t>≥ 99 %</w:t>
            </w:r>
          </w:p>
        </w:tc>
      </w:tr>
      <w:tr w:rsidR="00F81CA3" w14:paraId="43959BF4" w14:textId="77777777">
        <w:tblPrEx>
          <w:tblCellMar>
            <w:top w:w="0" w:type="dxa"/>
            <w:bottom w:w="0" w:type="dxa"/>
          </w:tblCellMar>
        </w:tblPrEx>
        <w:tc>
          <w:tcPr>
            <w:tcW w:w="700" w:type="dxa"/>
            <w:tcMar>
              <w:top w:w="60" w:type="dxa"/>
              <w:left w:w="100" w:type="dxa"/>
              <w:bottom w:w="60" w:type="dxa"/>
              <w:right w:w="100" w:type="dxa"/>
            </w:tcMar>
          </w:tcPr>
          <w:p w14:paraId="43959BF0" w14:textId="77777777" w:rsidR="00F81CA3" w:rsidRDefault="00000000">
            <w:r>
              <w:rPr>
                <w:sz w:val="20"/>
                <w:szCs w:val="20"/>
              </w:rPr>
              <w:t>5</w:t>
            </w:r>
          </w:p>
        </w:tc>
        <w:tc>
          <w:tcPr>
            <w:tcW w:w="2450" w:type="dxa"/>
            <w:tcMar>
              <w:top w:w="60" w:type="dxa"/>
              <w:left w:w="100" w:type="dxa"/>
              <w:bottom w:w="60" w:type="dxa"/>
              <w:right w:w="100" w:type="dxa"/>
            </w:tcMar>
          </w:tcPr>
          <w:p w14:paraId="43959BF1" w14:textId="77777777" w:rsidR="00F81CA3" w:rsidRDefault="00000000">
            <w:r>
              <w:rPr>
                <w:sz w:val="20"/>
                <w:szCs w:val="20"/>
              </w:rPr>
              <w:t>Točnost meritev energije</w:t>
            </w:r>
          </w:p>
        </w:tc>
        <w:tc>
          <w:tcPr>
            <w:tcW w:w="4250" w:type="dxa"/>
            <w:tcMar>
              <w:top w:w="60" w:type="dxa"/>
              <w:left w:w="100" w:type="dxa"/>
              <w:bottom w:w="60" w:type="dxa"/>
              <w:right w:w="100" w:type="dxa"/>
            </w:tcMar>
          </w:tcPr>
          <w:p w14:paraId="43959BF2" w14:textId="77777777" w:rsidR="00F81CA3" w:rsidRDefault="00000000">
            <w:r>
              <w:rPr>
                <w:sz w:val="20"/>
                <w:szCs w:val="20"/>
              </w:rPr>
              <w:t>Odstopanje izmerjene porabe od referenčne meritve</w:t>
            </w:r>
          </w:p>
        </w:tc>
        <w:tc>
          <w:tcPr>
            <w:tcW w:w="1800" w:type="dxa"/>
            <w:tcMar>
              <w:top w:w="60" w:type="dxa"/>
              <w:left w:w="100" w:type="dxa"/>
              <w:bottom w:w="60" w:type="dxa"/>
              <w:right w:w="100" w:type="dxa"/>
            </w:tcMar>
          </w:tcPr>
          <w:p w14:paraId="43959BF3" w14:textId="2281B810" w:rsidR="00F81CA3" w:rsidRDefault="00000000">
            <w:r>
              <w:rPr>
                <w:sz w:val="20"/>
                <w:szCs w:val="20"/>
              </w:rPr>
              <w:t xml:space="preserve">≤ </w:t>
            </w:r>
            <w:r w:rsidR="00264EED">
              <w:rPr>
                <w:sz w:val="20"/>
                <w:szCs w:val="20"/>
              </w:rPr>
              <w:t>3</w:t>
            </w:r>
            <w:r>
              <w:rPr>
                <w:sz w:val="20"/>
                <w:szCs w:val="20"/>
              </w:rPr>
              <w:t xml:space="preserve"> %</w:t>
            </w:r>
          </w:p>
        </w:tc>
      </w:tr>
      <w:tr w:rsidR="00F81CA3" w14:paraId="43959BF9" w14:textId="77777777">
        <w:tblPrEx>
          <w:tblCellMar>
            <w:top w:w="0" w:type="dxa"/>
            <w:bottom w:w="0" w:type="dxa"/>
          </w:tblCellMar>
        </w:tblPrEx>
        <w:tc>
          <w:tcPr>
            <w:tcW w:w="700" w:type="dxa"/>
            <w:tcMar>
              <w:top w:w="60" w:type="dxa"/>
              <w:left w:w="100" w:type="dxa"/>
              <w:bottom w:w="60" w:type="dxa"/>
              <w:right w:w="100" w:type="dxa"/>
            </w:tcMar>
          </w:tcPr>
          <w:p w14:paraId="43959BF5" w14:textId="77777777" w:rsidR="00F81CA3" w:rsidRDefault="00000000">
            <w:r>
              <w:rPr>
                <w:sz w:val="20"/>
                <w:szCs w:val="20"/>
              </w:rPr>
              <w:t>6</w:t>
            </w:r>
          </w:p>
        </w:tc>
        <w:tc>
          <w:tcPr>
            <w:tcW w:w="2450" w:type="dxa"/>
            <w:tcMar>
              <w:top w:w="60" w:type="dxa"/>
              <w:left w:w="100" w:type="dxa"/>
              <w:bottom w:w="60" w:type="dxa"/>
              <w:right w:w="100" w:type="dxa"/>
            </w:tcMar>
          </w:tcPr>
          <w:p w14:paraId="43959BF6" w14:textId="77777777" w:rsidR="00F81CA3" w:rsidRDefault="00000000">
            <w:r>
              <w:rPr>
                <w:sz w:val="20"/>
                <w:szCs w:val="20"/>
              </w:rPr>
              <w:t>Redukcijski profili</w:t>
            </w:r>
          </w:p>
        </w:tc>
        <w:tc>
          <w:tcPr>
            <w:tcW w:w="4250" w:type="dxa"/>
            <w:tcMar>
              <w:top w:w="60" w:type="dxa"/>
              <w:left w:w="100" w:type="dxa"/>
              <w:bottom w:w="60" w:type="dxa"/>
              <w:right w:w="100" w:type="dxa"/>
            </w:tcMar>
          </w:tcPr>
          <w:p w14:paraId="43959BF7" w14:textId="77777777" w:rsidR="00F81CA3" w:rsidRDefault="00000000">
            <w:r>
              <w:rPr>
                <w:sz w:val="20"/>
                <w:szCs w:val="20"/>
              </w:rPr>
              <w:t>Pravilnost izvajanja urnikov in astronomske ure</w:t>
            </w:r>
          </w:p>
        </w:tc>
        <w:tc>
          <w:tcPr>
            <w:tcW w:w="1800" w:type="dxa"/>
            <w:tcMar>
              <w:top w:w="60" w:type="dxa"/>
              <w:left w:w="100" w:type="dxa"/>
              <w:bottom w:w="60" w:type="dxa"/>
              <w:right w:w="100" w:type="dxa"/>
            </w:tcMar>
          </w:tcPr>
          <w:p w14:paraId="43959BF8" w14:textId="77777777" w:rsidR="00F81CA3" w:rsidRDefault="00000000">
            <w:r>
              <w:rPr>
                <w:sz w:val="20"/>
                <w:szCs w:val="20"/>
              </w:rPr>
              <w:t>brez odstopanj</w:t>
            </w:r>
          </w:p>
        </w:tc>
      </w:tr>
      <w:tr w:rsidR="00F81CA3" w14:paraId="43959BFE" w14:textId="77777777">
        <w:tblPrEx>
          <w:tblCellMar>
            <w:top w:w="0" w:type="dxa"/>
            <w:bottom w:w="0" w:type="dxa"/>
          </w:tblCellMar>
        </w:tblPrEx>
        <w:tc>
          <w:tcPr>
            <w:tcW w:w="700" w:type="dxa"/>
            <w:tcMar>
              <w:top w:w="60" w:type="dxa"/>
              <w:left w:w="100" w:type="dxa"/>
              <w:bottom w:w="60" w:type="dxa"/>
              <w:right w:w="100" w:type="dxa"/>
            </w:tcMar>
          </w:tcPr>
          <w:p w14:paraId="43959BFA" w14:textId="77777777" w:rsidR="00F81CA3" w:rsidRDefault="00000000">
            <w:r>
              <w:rPr>
                <w:sz w:val="20"/>
                <w:szCs w:val="20"/>
              </w:rPr>
              <w:t>7</w:t>
            </w:r>
          </w:p>
        </w:tc>
        <w:tc>
          <w:tcPr>
            <w:tcW w:w="2450" w:type="dxa"/>
            <w:tcMar>
              <w:top w:w="60" w:type="dxa"/>
              <w:left w:w="100" w:type="dxa"/>
              <w:bottom w:w="60" w:type="dxa"/>
              <w:right w:w="100" w:type="dxa"/>
            </w:tcMar>
          </w:tcPr>
          <w:p w14:paraId="43959BFB" w14:textId="77777777" w:rsidR="00F81CA3" w:rsidRDefault="00000000">
            <w:r>
              <w:rPr>
                <w:sz w:val="20"/>
                <w:szCs w:val="20"/>
              </w:rPr>
              <w:t>Zaznavanje okvar</w:t>
            </w:r>
          </w:p>
        </w:tc>
        <w:tc>
          <w:tcPr>
            <w:tcW w:w="4250" w:type="dxa"/>
            <w:tcMar>
              <w:top w:w="60" w:type="dxa"/>
              <w:left w:w="100" w:type="dxa"/>
              <w:bottom w:w="60" w:type="dxa"/>
              <w:right w:w="100" w:type="dxa"/>
            </w:tcMar>
          </w:tcPr>
          <w:p w14:paraId="43959BFC" w14:textId="77777777" w:rsidR="00F81CA3" w:rsidRDefault="00000000">
            <w:r>
              <w:rPr>
                <w:sz w:val="20"/>
                <w:szCs w:val="20"/>
              </w:rPr>
              <w:t>Čas od simulirane okvare do alarma v CMS</w:t>
            </w:r>
          </w:p>
        </w:tc>
        <w:tc>
          <w:tcPr>
            <w:tcW w:w="1800" w:type="dxa"/>
            <w:tcMar>
              <w:top w:w="60" w:type="dxa"/>
              <w:left w:w="100" w:type="dxa"/>
              <w:bottom w:w="60" w:type="dxa"/>
              <w:right w:w="100" w:type="dxa"/>
            </w:tcMar>
          </w:tcPr>
          <w:p w14:paraId="43959BFD" w14:textId="77777777" w:rsidR="00F81CA3" w:rsidRDefault="00000000">
            <w:r>
              <w:rPr>
                <w:sz w:val="20"/>
                <w:szCs w:val="20"/>
              </w:rPr>
              <w:t>≤ 24 h</w:t>
            </w:r>
          </w:p>
        </w:tc>
      </w:tr>
      <w:tr w:rsidR="00F81CA3" w14:paraId="43959C03" w14:textId="77777777">
        <w:tblPrEx>
          <w:tblCellMar>
            <w:top w:w="0" w:type="dxa"/>
            <w:bottom w:w="0" w:type="dxa"/>
          </w:tblCellMar>
        </w:tblPrEx>
        <w:tc>
          <w:tcPr>
            <w:tcW w:w="700" w:type="dxa"/>
            <w:tcMar>
              <w:top w:w="60" w:type="dxa"/>
              <w:left w:w="100" w:type="dxa"/>
              <w:bottom w:w="60" w:type="dxa"/>
              <w:right w:w="100" w:type="dxa"/>
            </w:tcMar>
          </w:tcPr>
          <w:p w14:paraId="43959BFF" w14:textId="77777777" w:rsidR="00F81CA3" w:rsidRDefault="00000000">
            <w:r>
              <w:rPr>
                <w:sz w:val="20"/>
                <w:szCs w:val="20"/>
              </w:rPr>
              <w:t>8</w:t>
            </w:r>
          </w:p>
        </w:tc>
        <w:tc>
          <w:tcPr>
            <w:tcW w:w="2450" w:type="dxa"/>
            <w:tcMar>
              <w:top w:w="60" w:type="dxa"/>
              <w:left w:w="100" w:type="dxa"/>
              <w:bottom w:w="60" w:type="dxa"/>
              <w:right w:w="100" w:type="dxa"/>
            </w:tcMar>
          </w:tcPr>
          <w:p w14:paraId="43959C00" w14:textId="77777777" w:rsidR="00F81CA3" w:rsidRDefault="00000000">
            <w:r>
              <w:rPr>
                <w:sz w:val="20"/>
                <w:szCs w:val="20"/>
              </w:rPr>
              <w:t>Odprtost podatkov</w:t>
            </w:r>
          </w:p>
        </w:tc>
        <w:tc>
          <w:tcPr>
            <w:tcW w:w="4250" w:type="dxa"/>
            <w:tcMar>
              <w:top w:w="60" w:type="dxa"/>
              <w:left w:w="100" w:type="dxa"/>
              <w:bottom w:w="60" w:type="dxa"/>
              <w:right w:w="100" w:type="dxa"/>
            </w:tcMar>
          </w:tcPr>
          <w:p w14:paraId="43959C01" w14:textId="77777777" w:rsidR="00F81CA3" w:rsidRDefault="00000000">
            <w:r>
              <w:rPr>
                <w:sz w:val="20"/>
                <w:szCs w:val="20"/>
              </w:rPr>
              <w:t>Izvoz podatkov prek API oziroma standardnega formata; poročilo o porabi (kWh) po svetilkah</w:t>
            </w:r>
          </w:p>
        </w:tc>
        <w:tc>
          <w:tcPr>
            <w:tcW w:w="1800" w:type="dxa"/>
            <w:tcMar>
              <w:top w:w="60" w:type="dxa"/>
              <w:left w:w="100" w:type="dxa"/>
              <w:bottom w:w="60" w:type="dxa"/>
              <w:right w:w="100" w:type="dxa"/>
            </w:tcMar>
          </w:tcPr>
          <w:p w14:paraId="43959C02" w14:textId="77777777" w:rsidR="00F81CA3" w:rsidRDefault="00000000">
            <w:r>
              <w:rPr>
                <w:sz w:val="20"/>
                <w:szCs w:val="20"/>
              </w:rPr>
              <w:t>izpolnjeno / ne</w:t>
            </w:r>
          </w:p>
        </w:tc>
      </w:tr>
      <w:tr w:rsidR="00F81CA3" w14:paraId="43959C08" w14:textId="77777777">
        <w:tblPrEx>
          <w:tblCellMar>
            <w:top w:w="0" w:type="dxa"/>
            <w:bottom w:w="0" w:type="dxa"/>
          </w:tblCellMar>
        </w:tblPrEx>
        <w:tc>
          <w:tcPr>
            <w:tcW w:w="700" w:type="dxa"/>
            <w:tcMar>
              <w:top w:w="60" w:type="dxa"/>
              <w:left w:w="100" w:type="dxa"/>
              <w:bottom w:w="60" w:type="dxa"/>
              <w:right w:w="100" w:type="dxa"/>
            </w:tcMar>
          </w:tcPr>
          <w:p w14:paraId="43959C04" w14:textId="77777777" w:rsidR="00F81CA3" w:rsidRDefault="00000000">
            <w:r>
              <w:rPr>
                <w:sz w:val="20"/>
                <w:szCs w:val="20"/>
              </w:rPr>
              <w:t>9</w:t>
            </w:r>
          </w:p>
        </w:tc>
        <w:tc>
          <w:tcPr>
            <w:tcW w:w="2450" w:type="dxa"/>
            <w:tcMar>
              <w:top w:w="60" w:type="dxa"/>
              <w:left w:w="100" w:type="dxa"/>
              <w:bottom w:w="60" w:type="dxa"/>
              <w:right w:w="100" w:type="dxa"/>
            </w:tcMar>
          </w:tcPr>
          <w:p w14:paraId="43959C05" w14:textId="77777777" w:rsidR="00F81CA3" w:rsidRDefault="00000000">
            <w:r>
              <w:rPr>
                <w:sz w:val="20"/>
                <w:szCs w:val="20"/>
              </w:rPr>
              <w:t>Skladnost s TALQ</w:t>
            </w:r>
          </w:p>
        </w:tc>
        <w:tc>
          <w:tcPr>
            <w:tcW w:w="4250" w:type="dxa"/>
            <w:tcMar>
              <w:top w:w="60" w:type="dxa"/>
              <w:left w:w="100" w:type="dxa"/>
              <w:bottom w:w="60" w:type="dxa"/>
              <w:right w:w="100" w:type="dxa"/>
            </w:tcMar>
          </w:tcPr>
          <w:p w14:paraId="43959C06" w14:textId="77777777" w:rsidR="00F81CA3" w:rsidRDefault="00000000">
            <w:r>
              <w:rPr>
                <w:sz w:val="20"/>
                <w:szCs w:val="20"/>
              </w:rPr>
              <w:t>Certifikat oziroma izkazana skladnost CMS s protokolom TALQ</w:t>
            </w:r>
          </w:p>
        </w:tc>
        <w:tc>
          <w:tcPr>
            <w:tcW w:w="1800" w:type="dxa"/>
            <w:tcMar>
              <w:top w:w="60" w:type="dxa"/>
              <w:left w:w="100" w:type="dxa"/>
              <w:bottom w:w="60" w:type="dxa"/>
              <w:right w:w="100" w:type="dxa"/>
            </w:tcMar>
          </w:tcPr>
          <w:p w14:paraId="43959C07" w14:textId="77777777" w:rsidR="00F81CA3" w:rsidRDefault="00000000">
            <w:r>
              <w:rPr>
                <w:sz w:val="20"/>
                <w:szCs w:val="20"/>
              </w:rPr>
              <w:t>opisno</w:t>
            </w:r>
          </w:p>
        </w:tc>
      </w:tr>
      <w:tr w:rsidR="00F81CA3" w14:paraId="43959C0D" w14:textId="77777777">
        <w:tblPrEx>
          <w:tblCellMar>
            <w:top w:w="0" w:type="dxa"/>
            <w:bottom w:w="0" w:type="dxa"/>
          </w:tblCellMar>
        </w:tblPrEx>
        <w:tc>
          <w:tcPr>
            <w:tcW w:w="700" w:type="dxa"/>
            <w:tcMar>
              <w:top w:w="60" w:type="dxa"/>
              <w:left w:w="100" w:type="dxa"/>
              <w:bottom w:w="60" w:type="dxa"/>
              <w:right w:w="100" w:type="dxa"/>
            </w:tcMar>
          </w:tcPr>
          <w:p w14:paraId="43959C09" w14:textId="77777777" w:rsidR="00F81CA3" w:rsidRDefault="00000000">
            <w:r>
              <w:rPr>
                <w:sz w:val="20"/>
                <w:szCs w:val="20"/>
              </w:rPr>
              <w:t>10</w:t>
            </w:r>
          </w:p>
        </w:tc>
        <w:tc>
          <w:tcPr>
            <w:tcW w:w="2450" w:type="dxa"/>
            <w:tcMar>
              <w:top w:w="60" w:type="dxa"/>
              <w:left w:w="100" w:type="dxa"/>
              <w:bottom w:w="60" w:type="dxa"/>
              <w:right w:w="100" w:type="dxa"/>
            </w:tcMar>
          </w:tcPr>
          <w:p w14:paraId="43959C0A" w14:textId="77777777" w:rsidR="00F81CA3" w:rsidRDefault="00000000">
            <w:r>
              <w:rPr>
                <w:sz w:val="20"/>
                <w:szCs w:val="20"/>
              </w:rPr>
              <w:t>Delovanje ob izpadu komunikacije</w:t>
            </w:r>
          </w:p>
        </w:tc>
        <w:tc>
          <w:tcPr>
            <w:tcW w:w="4250" w:type="dxa"/>
            <w:tcMar>
              <w:top w:w="60" w:type="dxa"/>
              <w:left w:w="100" w:type="dxa"/>
              <w:bottom w:w="60" w:type="dxa"/>
              <w:right w:w="100" w:type="dxa"/>
            </w:tcMar>
          </w:tcPr>
          <w:p w14:paraId="43959C0B" w14:textId="77777777" w:rsidR="00F81CA3" w:rsidRDefault="00000000">
            <w:r>
              <w:rPr>
                <w:sz w:val="20"/>
                <w:szCs w:val="20"/>
              </w:rPr>
              <w:t>Avtonomno delovanje naprav po lokalnem urniku ob prekinjeni povezavi s CMS</w:t>
            </w:r>
          </w:p>
        </w:tc>
        <w:tc>
          <w:tcPr>
            <w:tcW w:w="1800" w:type="dxa"/>
            <w:tcMar>
              <w:top w:w="60" w:type="dxa"/>
              <w:left w:w="100" w:type="dxa"/>
              <w:bottom w:w="60" w:type="dxa"/>
              <w:right w:w="100" w:type="dxa"/>
            </w:tcMar>
          </w:tcPr>
          <w:p w14:paraId="43959C0C" w14:textId="77777777" w:rsidR="00F81CA3" w:rsidRDefault="00000000">
            <w:r>
              <w:rPr>
                <w:sz w:val="20"/>
                <w:szCs w:val="20"/>
              </w:rPr>
              <w:t>izpolnjeno / ne</w:t>
            </w:r>
          </w:p>
        </w:tc>
      </w:tr>
    </w:tbl>
    <w:p w14:paraId="43959C0E" w14:textId="77777777" w:rsidR="00F81CA3" w:rsidRDefault="00000000">
      <w:pPr>
        <w:spacing w:after="120" w:line="276" w:lineRule="auto"/>
        <w:jc w:val="both"/>
      </w:pPr>
      <w:r>
        <w:t>Kazalniki se vrednotijo enotno za vse sodelujoče na podlagi podatkov iz CMS, zapisov koncesionarja in preizkusov iz 4. točke. Rezultati bodo po posameznih sodelujočih prikazani v javno objavljenem poročilu.</w:t>
      </w:r>
    </w:p>
    <w:p w14:paraId="43959C0F" w14:textId="77777777" w:rsidR="00F81CA3" w:rsidRDefault="00000000">
      <w:pPr>
        <w:spacing w:before="280" w:after="160"/>
      </w:pPr>
      <w:r>
        <w:rPr>
          <w:b/>
          <w:bCs/>
          <w:sz w:val="26"/>
          <w:szCs w:val="26"/>
        </w:rPr>
        <w:t>6. Varnost in odgovornost</w:t>
      </w:r>
    </w:p>
    <w:p w14:paraId="43959C10" w14:textId="77777777" w:rsidR="00F81CA3" w:rsidRDefault="00000000">
      <w:pPr>
        <w:spacing w:after="120" w:line="276" w:lineRule="auto"/>
        <w:jc w:val="both"/>
      </w:pPr>
      <w:r>
        <w:t>Vsa dela na infrastrukturi javne razsvetljave se izvajajo ob prisotnosti oziroma pod nadzorom koncesionarja in v skladu s predpisi o varnosti in zdravju pri delu ter tehničnimi predpisi za nizkonapetostne električne inštalacije. Sodelujoči odgovarja za škodo, ki bi jo pri namestitvi, delovanju ali odstranitvi njegove opreme povzročil na infrastrukturi naročnika ali tretjim osebam. Podrobnosti ureja Dogovor o brezplačnem demonstracijskem testiranju (Priloga 3).</w:t>
      </w:r>
    </w:p>
    <w:sectPr w:rsidR="00F81C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803EFC"/>
    <w:multiLevelType w:val="hybridMultilevel"/>
    <w:tmpl w:val="197E487A"/>
    <w:lvl w:ilvl="0" w:tplc="D374981A">
      <w:start w:val="1"/>
      <w:numFmt w:val="bullet"/>
      <w:lvlText w:val="●"/>
      <w:lvlJc w:val="left"/>
      <w:pPr>
        <w:ind w:left="720" w:hanging="360"/>
      </w:pPr>
    </w:lvl>
    <w:lvl w:ilvl="1" w:tplc="A81262FE">
      <w:start w:val="1"/>
      <w:numFmt w:val="bullet"/>
      <w:lvlText w:val="○"/>
      <w:lvlJc w:val="left"/>
      <w:pPr>
        <w:ind w:left="1440" w:hanging="360"/>
      </w:pPr>
    </w:lvl>
    <w:lvl w:ilvl="2" w:tplc="49A24348">
      <w:start w:val="1"/>
      <w:numFmt w:val="bullet"/>
      <w:lvlText w:val="■"/>
      <w:lvlJc w:val="left"/>
      <w:pPr>
        <w:ind w:left="2160" w:hanging="360"/>
      </w:pPr>
    </w:lvl>
    <w:lvl w:ilvl="3" w:tplc="78803D36">
      <w:start w:val="1"/>
      <w:numFmt w:val="bullet"/>
      <w:lvlText w:val="●"/>
      <w:lvlJc w:val="left"/>
      <w:pPr>
        <w:ind w:left="2880" w:hanging="360"/>
      </w:pPr>
    </w:lvl>
    <w:lvl w:ilvl="4" w:tplc="9744AD28">
      <w:start w:val="1"/>
      <w:numFmt w:val="bullet"/>
      <w:lvlText w:val="○"/>
      <w:lvlJc w:val="left"/>
      <w:pPr>
        <w:ind w:left="3600" w:hanging="360"/>
      </w:pPr>
    </w:lvl>
    <w:lvl w:ilvl="5" w:tplc="4D088B0C">
      <w:start w:val="1"/>
      <w:numFmt w:val="bullet"/>
      <w:lvlText w:val="■"/>
      <w:lvlJc w:val="left"/>
      <w:pPr>
        <w:ind w:left="4320" w:hanging="360"/>
      </w:pPr>
    </w:lvl>
    <w:lvl w:ilvl="6" w:tplc="D6D06F66">
      <w:start w:val="1"/>
      <w:numFmt w:val="bullet"/>
      <w:lvlText w:val="●"/>
      <w:lvlJc w:val="left"/>
      <w:pPr>
        <w:ind w:left="5040" w:hanging="360"/>
      </w:pPr>
    </w:lvl>
    <w:lvl w:ilvl="7" w:tplc="1AAECC74">
      <w:start w:val="1"/>
      <w:numFmt w:val="bullet"/>
      <w:lvlText w:val="●"/>
      <w:lvlJc w:val="left"/>
      <w:pPr>
        <w:ind w:left="5760" w:hanging="360"/>
      </w:pPr>
    </w:lvl>
    <w:lvl w:ilvl="8" w:tplc="05C4A538">
      <w:start w:val="1"/>
      <w:numFmt w:val="bullet"/>
      <w:lvlText w:val="●"/>
      <w:lvlJc w:val="left"/>
      <w:pPr>
        <w:ind w:left="6480" w:hanging="360"/>
      </w:pPr>
    </w:lvl>
  </w:abstractNum>
  <w:abstractNum w:abstractNumId="1" w15:restartNumberingAfterBreak="0">
    <w:nsid w:val="6AB3313E"/>
    <w:multiLevelType w:val="hybridMultilevel"/>
    <w:tmpl w:val="A35C990E"/>
    <w:lvl w:ilvl="0" w:tplc="5AC22620">
      <w:start w:val="1"/>
      <w:numFmt w:val="bullet"/>
      <w:lvlText w:val="–"/>
      <w:lvlJc w:val="left"/>
      <w:pPr>
        <w:ind w:left="360" w:hanging="200"/>
      </w:pPr>
    </w:lvl>
    <w:lvl w:ilvl="1" w:tplc="DF3EDEFA">
      <w:numFmt w:val="decimal"/>
      <w:lvlText w:val=""/>
      <w:lvlJc w:val="left"/>
    </w:lvl>
    <w:lvl w:ilvl="2" w:tplc="C48A813C">
      <w:numFmt w:val="decimal"/>
      <w:lvlText w:val=""/>
      <w:lvlJc w:val="left"/>
    </w:lvl>
    <w:lvl w:ilvl="3" w:tplc="3F040E7C">
      <w:numFmt w:val="decimal"/>
      <w:lvlText w:val=""/>
      <w:lvlJc w:val="left"/>
    </w:lvl>
    <w:lvl w:ilvl="4" w:tplc="10ACF376">
      <w:numFmt w:val="decimal"/>
      <w:lvlText w:val=""/>
      <w:lvlJc w:val="left"/>
    </w:lvl>
    <w:lvl w:ilvl="5" w:tplc="BC7A2EDE">
      <w:numFmt w:val="decimal"/>
      <w:lvlText w:val=""/>
      <w:lvlJc w:val="left"/>
    </w:lvl>
    <w:lvl w:ilvl="6" w:tplc="69C8B06E">
      <w:numFmt w:val="decimal"/>
      <w:lvlText w:val=""/>
      <w:lvlJc w:val="left"/>
    </w:lvl>
    <w:lvl w:ilvl="7" w:tplc="0C7E8426">
      <w:numFmt w:val="decimal"/>
      <w:lvlText w:val=""/>
      <w:lvlJc w:val="left"/>
    </w:lvl>
    <w:lvl w:ilvl="8" w:tplc="465A44DA">
      <w:numFmt w:val="decimal"/>
      <w:lvlText w:val=""/>
      <w:lvlJc w:val="left"/>
    </w:lvl>
  </w:abstractNum>
  <w:num w:numId="1" w16cid:durableId="1166091389">
    <w:abstractNumId w:val="0"/>
    <w:lvlOverride w:ilvl="0">
      <w:startOverride w:val="1"/>
    </w:lvlOverride>
  </w:num>
  <w:num w:numId="2" w16cid:durableId="42685071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CA3"/>
    <w:rsid w:val="000034C3"/>
    <w:rsid w:val="001914B5"/>
    <w:rsid w:val="00264EED"/>
    <w:rsid w:val="002A7C94"/>
    <w:rsid w:val="004705F8"/>
    <w:rsid w:val="00C24378"/>
    <w:rsid w:val="00F81CA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59BA7"/>
  <w15:docId w15:val="{1B836AE5-0EBB-4704-800F-B65F9F52C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uiPriority w:val="9"/>
    <w:qFormat/>
    <w:pPr>
      <w:outlineLvl w:val="0"/>
    </w:pPr>
    <w:rPr>
      <w:color w:val="2E74B5"/>
      <w:sz w:val="32"/>
      <w:szCs w:val="32"/>
    </w:rPr>
  </w:style>
  <w:style w:type="paragraph" w:styleId="Naslov2">
    <w:name w:val="heading 2"/>
    <w:uiPriority w:val="9"/>
    <w:semiHidden/>
    <w:unhideWhenUsed/>
    <w:qFormat/>
    <w:pPr>
      <w:outlineLvl w:val="1"/>
    </w:pPr>
    <w:rPr>
      <w:color w:val="2E74B5"/>
      <w:sz w:val="26"/>
      <w:szCs w:val="26"/>
    </w:rPr>
  </w:style>
  <w:style w:type="paragraph" w:styleId="Naslov3">
    <w:name w:val="heading 3"/>
    <w:uiPriority w:val="9"/>
    <w:semiHidden/>
    <w:unhideWhenUsed/>
    <w:qFormat/>
    <w:pPr>
      <w:outlineLvl w:val="2"/>
    </w:pPr>
    <w:rPr>
      <w:color w:val="1F4D78"/>
      <w:sz w:val="24"/>
      <w:szCs w:val="24"/>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uiPriority w:val="10"/>
    <w:qFormat/>
    <w:rPr>
      <w:sz w:val="56"/>
      <w:szCs w:val="56"/>
    </w:rPr>
  </w:style>
  <w:style w:type="paragraph" w:customStyle="1" w:styleId="Krepko1">
    <w:name w:val="Krepko1"/>
    <w:qFormat/>
    <w:rPr>
      <w:b/>
      <w:bCs/>
    </w:rPr>
  </w:style>
  <w:style w:type="paragraph" w:styleId="Odstavekseznama">
    <w:name w:val="List Paragraph"/>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link w:val="Sprotnaopomba-besediloZnak"/>
    <w:uiPriority w:val="99"/>
    <w:semiHidden/>
    <w:unhideWhenUsed/>
    <w:rPr>
      <w:sz w:val="20"/>
      <w:szCs w:val="20"/>
    </w:rPr>
  </w:style>
  <w:style w:type="character" w:customStyle="1" w:styleId="Sprotnaopomba-besediloZnak">
    <w:name w:val="Sprotna opomba - besedilo Znak"/>
    <w:link w:val="Sprotnaopomba-besedilo"/>
    <w:uiPriority w:val="99"/>
    <w:semiHidden/>
    <w:unhideWhenUsed/>
    <w:rPr>
      <w:sz w:val="20"/>
      <w:szCs w:val="20"/>
    </w:rPr>
  </w:style>
  <w:style w:type="character" w:styleId="Konnaopomba-sklic">
    <w:name w:val="endnote reference"/>
    <w:uiPriority w:val="99"/>
    <w:semiHidden/>
    <w:unhideWhenUsed/>
    <w:rPr>
      <w:vertAlign w:val="superscript"/>
    </w:rPr>
  </w:style>
  <w:style w:type="paragraph" w:styleId="Konnaopomba-besedilo">
    <w:name w:val="endnote text"/>
    <w:link w:val="Konnaopomba-besediloZnak"/>
    <w:uiPriority w:val="99"/>
    <w:semiHidden/>
    <w:unhideWhenUsed/>
    <w:rPr>
      <w:sz w:val="20"/>
      <w:szCs w:val="20"/>
    </w:rPr>
  </w:style>
  <w:style w:type="character" w:customStyle="1" w:styleId="Konnaopomba-besediloZnak">
    <w:name w:val="Končna opomba - besedilo Znak"/>
    <w:link w:val="Konnaopomba-besedil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611</Words>
  <Characters>3489</Characters>
  <Application>Microsoft Office Word</Application>
  <DocSecurity>0</DocSecurity>
  <Lines>29</Lines>
  <Paragraphs>8</Paragraphs>
  <ScaleCrop>false</ScaleCrop>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Matej MOHARIĆ</cp:lastModifiedBy>
  <cp:revision>6</cp:revision>
  <dcterms:created xsi:type="dcterms:W3CDTF">2026-08-06T06:45:00Z</dcterms:created>
  <dcterms:modified xsi:type="dcterms:W3CDTF">2026-09-17T19:09:00Z</dcterms:modified>
</cp:coreProperties>
</file>